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sub_202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распоряжению министерства труда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и занятости Иркутской области 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от 12 сентября 2014 года № 201-мр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«УТВЕРЖДЕНЫ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распоряжением министерства труда и 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занятости Иркутской области</w:t>
      </w:r>
    </w:p>
    <w:p w:rsidR="00F11E69" w:rsidRPr="00F11E69" w:rsidRDefault="00F11E69" w:rsidP="00F11E69">
      <w:pPr>
        <w:tabs>
          <w:tab w:val="left" w:pos="538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от 10 июля 2013 года № 153-мр</w:t>
      </w:r>
    </w:p>
    <w:p w:rsidR="00F11E69" w:rsidRPr="00F11E69" w:rsidRDefault="00F11E69" w:rsidP="00F11E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F11E69" w:rsidRPr="00F11E69" w:rsidRDefault="00F11E69" w:rsidP="00F11E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F11E69" w:rsidRPr="00F11E69" w:rsidRDefault="00F11E69" w:rsidP="00F11E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F11E69" w:rsidRDefault="00F11E69" w:rsidP="00F11E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</w:p>
    <w:p w:rsidR="00F11E69" w:rsidRPr="00F11E69" w:rsidRDefault="00F11E69" w:rsidP="00F11E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sz w:val="20"/>
          <w:lang w:eastAsia="ru-RU"/>
        </w:rPr>
        <w:t>РАБОТОДАТЕЛЯМ ИРКУТСКОЙ ОБЛАСТИ ПО ОРГАНИЗАЦИИ ТРУДОУСТРОЙСТВА НЕСОВЕРШЕННОЛЕТНИХ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F11E69">
        <w:rPr>
          <w:rFonts w:ascii="Times New Roman" w:eastAsia="Times New Roman" w:hAnsi="Times New Roman" w:cs="Times New Roman"/>
          <w:b/>
          <w:sz w:val="20"/>
          <w:lang w:eastAsia="ru-RU"/>
        </w:rPr>
        <w:t>ГРАЖДАН</w:t>
      </w:r>
    </w:p>
    <w:bookmarkEnd w:id="0"/>
    <w:p w:rsidR="00F11E69" w:rsidRPr="00F11E69" w:rsidRDefault="00F11E69" w:rsidP="00F11E69">
      <w:pPr>
        <w:spacing w:before="100" w:beforeAutospacing="1" w:after="100" w:afterAutospacing="1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sz w:val="20"/>
          <w:lang w:eastAsia="ru-RU"/>
        </w:rPr>
        <w:t>1. Общие положения</w:t>
      </w:r>
    </w:p>
    <w:p w:rsidR="00F11E69" w:rsidRPr="00F11E69" w:rsidRDefault="00F11E69" w:rsidP="00F11E69">
      <w:pPr>
        <w:tabs>
          <w:tab w:val="left" w:pos="567"/>
          <w:tab w:val="left" w:pos="1134"/>
        </w:tabs>
        <w:spacing w:before="100" w:beforeAutospacing="1" w:after="100" w:afterAutospacing="1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1.Настоящие Методические рекомендации разработаны отделом специальных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 управления занятости населения министерства труда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занятости Иркутской области в помощь работодателям Иркутской области, организующим работу по трудоустройству несовершеннолетних граждан  в возрасте до восемнадцати лет (далее – несовершеннолетние граждане, несовершеннолетние работники).</w:t>
      </w:r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2. Перечень основных нормативных правовых актов, регулирующих трудовые отношения с несовершеннолетними работниками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2. Основными нормативными правовыми актами, регулирующими трудовые отношения с несовершеннолетними работниками, являются: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1) Трудовой кодекс Российской Федерации (далее – ТК РФ);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Федеральный закон от 21 декабря 1996 года № 159-ФЗ                          «О дополнительных гарантиях по социальной поддержке детей-сирот и детей, оставшихся без попечения родителей»;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3) Постановление Правительства Российской Федерации                            от 25 февраля 2000 года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 Постановление Главного государственного санитарного врача Российской Федерации от 30 сентября 2009 года № 58 «Об утверждении санитарно - эпидемиологические требования к безопасности условий труда работников, не достигших 18 летнего возраста </w:t>
      </w:r>
      <w:proofErr w:type="spell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2.4.6.2553-09.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1"/>
      <w:r w:rsidRPr="00F11E69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sz w:val="20"/>
          <w:lang w:eastAsia="ru-RU"/>
        </w:rPr>
        <w:t>3. Виды работ, на которых запрещено использование труда несовершеннолетних граждан</w:t>
      </w:r>
      <w:bookmarkEnd w:id="2"/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Трудовым законодательством запрещено применение труда несовершеннолетних граждан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</w:p>
    <w:p w:rsidR="00F11E69" w:rsidRPr="00F11E69" w:rsidRDefault="00E91C17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gramStart"/>
        <w:r w:rsidR="00F11E69"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Перечен</w:t>
        </w:r>
      </w:hyperlink>
      <w:r w:rsidR="00F11E69"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gramEnd"/>
      <w:r w:rsidR="00F11E69"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         восемнадцати лет, утвержден </w:t>
      </w:r>
      <w:hyperlink r:id="rId5" w:history="1">
        <w:r w:rsidR="00F11E69"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постановлением</w:t>
        </w:r>
      </w:hyperlink>
      <w:r w:rsidR="00F11E69"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25 февраля 2000 года № 163.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</w:t>
      </w:r>
      <w:r w:rsidRPr="00F11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ТК РФ </w:t>
      </w: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перечислены другие случаи, когда лица моложе восемнадцати лет не могут стать участниками трудовых отношений (работниками), т.е. не могут быть приняты на работу: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1)  </w:t>
      </w:r>
      <w:r w:rsidRPr="00F11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совместительству (</w:t>
      </w:r>
      <w:hyperlink r:id="rId6" w:history="1">
        <w:proofErr w:type="gramStart"/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ч</w:t>
        </w:r>
        <w:proofErr w:type="gramEnd"/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 5 ст. 282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РФ);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3)  </w:t>
      </w:r>
      <w:r w:rsidRPr="00F11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выполняемую вахтовым методом (</w:t>
      </w:r>
      <w:hyperlink r:id="rId7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ст. 298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РФ);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3) </w:t>
      </w:r>
      <w:r w:rsidRPr="00F11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религиозную организацию (</w:t>
      </w:r>
      <w:hyperlink r:id="rId8" w:history="1">
        <w:proofErr w:type="gramStart"/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ч</w:t>
        </w:r>
        <w:proofErr w:type="gramEnd"/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 2 ст. 342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РФ).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несовершеннолетние граждане не могут быть приняты на работу в иных случаях, предусмотренных законодательством Российской Федерации.</w:t>
      </w:r>
    </w:p>
    <w:p w:rsidR="00F11E69" w:rsidRPr="00F11E69" w:rsidRDefault="00F11E69" w:rsidP="00F11E69">
      <w:pPr>
        <w:spacing w:after="0" w:line="228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  <w:bookmarkEnd w:id="1"/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4. </w:t>
      </w:r>
      <w:bookmarkStart w:id="3" w:name="sub_227"/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Ограничения и льготы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3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соответствии со </w:t>
      </w:r>
      <w:hyperlink r:id="rId9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статьей 268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 запрещаются направление несовершеннолетних работников в служебные командировки, привлечение их к сверхурочной работе, работе в ночное время, в выходные и нерабочие праздничные дни (за исключением творческих работников средств массовой информации, организаций кинематографии, тел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видеосъемочных</w:t>
      </w:r>
      <w:proofErr w:type="spell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профессиональных спортсменов в соответствии с </w:t>
      </w:r>
      <w:hyperlink r:id="rId10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перечнями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работ, профессий, должностей </w:t>
      </w: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 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hyperlink r:id="rId11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Статьей 242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 предусмотрены ограничения на привлечение к материальной ответственности несовершеннолетних работников. Эти работники несут полную материальную ответственность лишь за умышленное причинение ущерба, за ущерб, причиненный в состоянии алкогольного, наркотического или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F11E69" w:rsidRDefault="00F11E69" w:rsidP="00F11E69">
      <w:pPr>
        <w:autoSpaceDE w:val="0"/>
        <w:autoSpaceDN w:val="0"/>
        <w:adjustRightInd w:val="0"/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Нормы предельно допустимых нагрузок для несовершеннолетних граждан при подъеме и перемещении тяжестей вручную, утверждены </w:t>
      </w:r>
      <w:hyperlink r:id="rId12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постановлением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труда и социального развития Российской Федерации от 7 апреля 1999 года № 7 «Об установлении </w:t>
      </w:r>
      <w:hyperlink r:id="rId13" w:history="1">
        <w:r w:rsidRPr="00F11E69">
          <w:rPr>
            <w:rFonts w:ascii="Times New Roman" w:eastAsia="Times New Roman" w:hAnsi="Times New Roman" w:cs="Times New Roman"/>
            <w:sz w:val="20"/>
            <w:lang w:eastAsia="ru-RU"/>
          </w:rPr>
          <w:t>норм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предельно допустимых нагрузок для лиц моложе восемнадцати лет при подъеме и перемещении тяжестей вручную» (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Таблицу 1).</w:t>
      </w:r>
    </w:p>
    <w:p w:rsidR="00F11E69" w:rsidRPr="00F11E69" w:rsidRDefault="00F11E69" w:rsidP="00F11E69">
      <w:pPr>
        <w:autoSpaceDE w:val="0"/>
        <w:autoSpaceDN w:val="0"/>
        <w:adjustRightInd w:val="0"/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9" w:rsidRPr="00F11E69" w:rsidRDefault="00F11E69" w:rsidP="00F11E69">
      <w:pPr>
        <w:spacing w:after="0" w:line="228" w:lineRule="auto"/>
        <w:ind w:right="-6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Таблица 1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5147"/>
        <w:gridCol w:w="546"/>
        <w:gridCol w:w="544"/>
        <w:gridCol w:w="454"/>
        <w:gridCol w:w="567"/>
        <w:gridCol w:w="492"/>
        <w:gridCol w:w="527"/>
        <w:gridCol w:w="527"/>
        <w:gridCol w:w="576"/>
      </w:tblGrid>
      <w:tr w:rsidR="00F11E69" w:rsidRPr="00F11E69" w:rsidTr="00F11E69">
        <w:trPr>
          <w:trHeight w:val="437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работы, показатели тяжести труда</w:t>
            </w:r>
          </w:p>
        </w:tc>
        <w:tc>
          <w:tcPr>
            <w:tcW w:w="2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допустимая масса груза, </w:t>
            </w:r>
            <w:proofErr w:type="gramStart"/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F11E69" w:rsidRPr="00F11E69" w:rsidTr="00F11E69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9" w:rsidRPr="00F11E69" w:rsidRDefault="00F11E69" w:rsidP="00F1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F11E69" w:rsidRPr="00F11E69" w:rsidTr="00F11E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9" w:rsidRPr="00F11E69" w:rsidRDefault="00F11E69" w:rsidP="00F1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     лет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   лет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 лет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 лет</w:t>
            </w:r>
          </w:p>
        </w:tc>
      </w:tr>
      <w:tr w:rsidR="00F11E69" w:rsidRPr="00F11E69" w:rsidTr="00F11E69">
        <w:trPr>
          <w:trHeight w:val="677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и перемещение вручную груза постоянно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рабочей смены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1E69" w:rsidRPr="00F11E69" w:rsidTr="00F11E69">
        <w:trPr>
          <w:trHeight w:val="105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и перемещение груза вручную в течение 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1/3 рабочей смены: постоянно (более </w:t>
            </w:r>
            <w:proofErr w:type="gramEnd"/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раз в час) при чередовании с другой работой (до двух раз в час)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11E69" w:rsidRPr="00F11E69" w:rsidTr="00F11E69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масса груза, перемещаемого в течение смены: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с рабочей поверхности подъем с пола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11E69" w:rsidRPr="00F11E69" w:rsidTr="00F11E69">
        <w:trPr>
          <w:trHeight w:val="22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Примечания.</w:t>
            </w:r>
          </w:p>
          <w:p w:rsidR="00F11E69" w:rsidRPr="00F11E69" w:rsidRDefault="00F11E69" w:rsidP="00F11E69">
            <w:pPr>
              <w:spacing w:after="0" w:line="228" w:lineRule="auto"/>
              <w:ind w:right="-249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11E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Подъем и перемещение тяжестей в пределах указанных норм допускаются, если это 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связано с выполняемой постоянной профессиональной работой.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массу поднимаемого и перемещаемого груза включается масса тары и упаковки.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При перемещении грузов на тележках или в контейнерах прилагаемое усилие не должно 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превышать: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юношей 14 лет - 12 кг, 15 лет - 15 кг, 16 лет - 20 кг, 17 лет - 24 кг;</w:t>
            </w:r>
          </w:p>
          <w:p w:rsidR="00F11E69" w:rsidRPr="00F11E69" w:rsidRDefault="00F11E69" w:rsidP="00F11E69">
            <w:pPr>
              <w:spacing w:before="100" w:beforeAutospacing="1" w:after="100" w:afterAutospacing="1" w:line="228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девушек 14 лет - 4 кг, 15 лет - 5 кг, 16 лет - 7 кг, 17 лет - 8 кг.</w:t>
            </w:r>
          </w:p>
        </w:tc>
      </w:tr>
    </w:tbl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23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На работодателей возлагаются обязанности по предоставлению несовершеннолетним работникам всех льгот, гарантий и компенсаций, предусмотренных законодательством Российской Федерации. </w:t>
      </w:r>
    </w:p>
    <w:p w:rsidR="00F11E69" w:rsidRPr="00F11E69" w:rsidRDefault="00F11E69" w:rsidP="00F11E69">
      <w:pPr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5. Прием на работу несовершеннолетних граждан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4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9. Статьей 63 ТК РФ закреплено положение о возможности заключения трудового договора с гражданами, достигшими возраста шестнадцати лет.</w:t>
      </w:r>
    </w:p>
    <w:p w:rsidR="00F11E69" w:rsidRPr="00F11E69" w:rsidRDefault="00F11E69" w:rsidP="00F11E69">
      <w:pPr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10. С согласия одного из родителей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12. Документом, удостоверяющим возраст и наличие российского гражданства, является паспорт гражданина Российской Федерации.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При трудоустройстве с несовершеннолетним работником работодатель заключает трудовой договор на неопределенный срок либо срочный трудовой договор. 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 На основании </w:t>
      </w:r>
      <w:hyperlink r:id="rId14" w:history="1">
        <w:r w:rsidRPr="00F11E69">
          <w:rPr>
            <w:rFonts w:ascii="Times New Roman" w:eastAsia="Times New Roman" w:hAnsi="Times New Roman" w:cs="Times New Roman"/>
            <w:sz w:val="20"/>
            <w:lang w:eastAsia="ru-RU"/>
          </w:rPr>
          <w:t>статьи 70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 испытательный срок при приеме на работу несовершеннолетних граждан не устанавливается.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После заключения трудового договора работодатель должен оформить приказ о приеме на работу, ознакомить с ним несовершеннолетнего работника под роспись, провести инструктаж по охране </w:t>
      </w: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труда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 с правилами внутреннего распорядка, иными локальными нормативными актами организации (а также при необходимости оформить трудовую книжку и страховое свидетельство обязательного пенсионного страхования</w:t>
      </w:r>
      <w:r w:rsidRPr="00F11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11E69" w:rsidRPr="00F11E69" w:rsidRDefault="00F11E69" w:rsidP="00F11E69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" w:name="sub_224"/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6. Медицинские осмотры несовершеннолетних граждан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5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  <w:hyperlink r:id="rId15" w:history="1">
        <w:r w:rsidRPr="00F11E69">
          <w:rPr>
            <w:rFonts w:ascii="Times New Roman" w:eastAsia="Times New Roman" w:hAnsi="Times New Roman" w:cs="Times New Roman"/>
            <w:sz w:val="20"/>
            <w:lang w:eastAsia="ru-RU"/>
          </w:rPr>
          <w:t>Статьями 69 и 266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 установлено, что лица в возрасте до восемнадцати лет принимаются на работу только после обязательного предварительного медицинского осмотра (обследования). Цель такого осмотра (обследования) состоит в необходимости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выяснения соответствия состояния здоровья несовершеннолетнего гражданина предполагаемой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работе. Медицинские осмотры проводятся в учреждениях государственной, муниципальной системы здравоохранения.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Предусмотренные данной </w:t>
      </w:r>
      <w:hyperlink r:id="rId16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статьей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осмотры осуществляются за счет средств работодателя.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несовершеннолетнего гражданина пройти обязательный предварительный медицинский осмотр при приеме на работу служит правомерным основанием для отказа в заключении с ним трудового договора.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дальнейшем, до достижения возраста восемнадцати лет, несовершеннолетние работники ежегодно подлежат обязательному медицинскому осмотру.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17. </w:t>
      </w:r>
      <w:hyperlink r:id="rId17" w:history="1">
        <w:proofErr w:type="gramStart"/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Статьей 13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30 марта 1995 года № 38-ФЗ        «О предупреждении распространения в Российской Федерации заболевания, вызываемого вирусом иммунодефицита человека (ВИЧ-инфекции)» установлено, что в случае выявления ВИЧ-инфекции у несовершеннолетнего работника в возрасте до восемнадцати лет, работники учреждения, проводившего медицинское освидетельствование, должны уведомить об этом родителей или законных представителей несовершеннолетнего гражданина.</w:t>
      </w:r>
      <w:bookmarkStart w:id="6" w:name="sub_225"/>
      <w:proofErr w:type="gramEnd"/>
    </w:p>
    <w:p w:rsidR="00F11E69" w:rsidRPr="00F11E69" w:rsidRDefault="00F11E69" w:rsidP="00F11E69">
      <w:pPr>
        <w:spacing w:after="0" w:line="228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7. Продолжительность рабочего времени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6"/>
    </w:p>
    <w:p w:rsidR="00F11E69" w:rsidRPr="00F11E69" w:rsidRDefault="00F11E69" w:rsidP="00F11E6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18. В соответствии со статьями 92, 94 ТК РФ несовершеннолетние граждане относятся к категории работников, которым гарантировано сокращенное рабочее время.</w:t>
      </w:r>
    </w:p>
    <w:p w:rsidR="00F11E69" w:rsidRPr="00F11E69" w:rsidRDefault="00F11E69" w:rsidP="00F11E6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рабочего времени несовершеннолетнего работника зависит от его возраста и составляет (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 1 ст. 92 ТК РФ):</w:t>
      </w:r>
    </w:p>
    <w:p w:rsidR="00F11E69" w:rsidRPr="00F11E69" w:rsidRDefault="00F11E69" w:rsidP="00F11E6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работников в возрасте до шестнадцати лет - не более 24 часов в неделю;</w:t>
      </w:r>
    </w:p>
    <w:p w:rsidR="00F11E69" w:rsidRPr="00F11E69" w:rsidRDefault="00F11E69" w:rsidP="00F11E69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работников в возрасте от шестнадцати до восемнадцати лет - не более 35 часов в неделю.</w:t>
      </w:r>
    </w:p>
    <w:p w:rsidR="00F11E69" w:rsidRPr="00F11E69" w:rsidRDefault="00F11E69" w:rsidP="00F11E6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может превышать половины норм, установленных частью 1 статьи 92 ТК РФ для лиц соответствующего возраста.</w:t>
      </w:r>
    </w:p>
    <w:p w:rsidR="00F11E69" w:rsidRPr="00F11E69" w:rsidRDefault="00F11E69" w:rsidP="00F11E6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94 ТК РФ продолжительность ежедневной работы (смены) не может превышать для работников: </w:t>
      </w:r>
    </w:p>
    <w:p w:rsidR="00F11E69" w:rsidRPr="00F11E69" w:rsidRDefault="00F11E69" w:rsidP="00F11E6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возрасте от пятнадцати  до шестнадцати лет - 5 часов,</w:t>
      </w:r>
    </w:p>
    <w:p w:rsidR="00F11E69" w:rsidRPr="00F11E69" w:rsidRDefault="00F11E69" w:rsidP="00F11E69">
      <w:pPr>
        <w:tabs>
          <w:tab w:val="left" w:pos="993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возрасте от шестнадцати до восемнадцати лет - 7 часов.</w:t>
      </w:r>
    </w:p>
    <w:p w:rsidR="00F11E69" w:rsidRPr="00F11E69" w:rsidRDefault="00F11E69" w:rsidP="00F11E69">
      <w:pPr>
        <w:spacing w:after="0" w:line="228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учащихся общеобразовательных учреждений, профессиональных образовательных организаций, совмещающих в течение учебного года учебу с работой, продолжительность ежедневной работы (смены) не может превышать: </w:t>
      </w:r>
    </w:p>
    <w:p w:rsidR="00F11E69" w:rsidRPr="00F11E69" w:rsidRDefault="00F11E69" w:rsidP="00F11E69">
      <w:pPr>
        <w:spacing w:after="0" w:line="228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возрасте от четырнадцати до шестнадцати лет - 2,5 часа,</w:t>
      </w:r>
    </w:p>
    <w:p w:rsidR="00F11E69" w:rsidRPr="00F11E69" w:rsidRDefault="00F11E69" w:rsidP="00F11E69">
      <w:pPr>
        <w:tabs>
          <w:tab w:val="left" w:pos="851"/>
        </w:tabs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возрасте от шестнадцати до восемнадцати лет - 4 часа.</w:t>
      </w:r>
    </w:p>
    <w:p w:rsidR="00F11E69" w:rsidRPr="00F11E69" w:rsidRDefault="00F11E69" w:rsidP="00F11E69">
      <w:pPr>
        <w:tabs>
          <w:tab w:val="left" w:pos="851"/>
        </w:tabs>
        <w:spacing w:after="0" w:line="228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" w:name="sub_226"/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8. Нормы выработки и оплата труда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7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19. В соответствии со статьей 270 ТК РФ для несовершеннолетних работников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F11E69" w:rsidRPr="00F11E69" w:rsidRDefault="00F11E69" w:rsidP="00F11E69">
      <w:pPr>
        <w:autoSpaceDE w:val="0"/>
        <w:autoSpaceDN w:val="0"/>
        <w:adjustRightInd w:val="0"/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работников в возрасте до восемнадцати лет, поступающих на работу после окончания общеобразовательных организаций и профессиональных образовательных организаций,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выработки.</w:t>
      </w:r>
      <w:proofErr w:type="gramEnd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20. Особенности оплаты труда несовершеннолетних работников предусмотрены статьей 271 ТК РФ. При повременной оплате труда заработная плата выплачивается с учетом сокращенной продолжительности рабочего времени. Работодатель может за счет собственных сре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оизводить несовершеннолетним работникам доплаты до уровня оплаты труда работников соответствующих категорий при полной продолжительности ежедневной работы.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21. Труд несовершеннолетних работников,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рабочего времени.</w:t>
      </w:r>
    </w:p>
    <w:p w:rsidR="00F11E69" w:rsidRPr="00F11E69" w:rsidRDefault="00F11E69" w:rsidP="00F11E69">
      <w:pPr>
        <w:autoSpaceDE w:val="0"/>
        <w:autoSpaceDN w:val="0"/>
        <w:adjustRightInd w:val="0"/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Оплата труда несовершеннолетних работников, обучающихся в общеобразовательных организациях, профессиональных образовательных организациях, образовательных организациях высшего </w:t>
      </w: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образования,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F11E69" w:rsidRPr="00F11E69" w:rsidRDefault="00F11E69" w:rsidP="00F11E69">
      <w:pPr>
        <w:autoSpaceDE w:val="0"/>
        <w:autoSpaceDN w:val="0"/>
        <w:adjustRightInd w:val="0"/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" w:name="sub_228"/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9. Предоставление отпусков несовершеннолетним работникам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8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 В соответствии со </w:t>
      </w:r>
      <w:hyperlink r:id="rId18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статьей 267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 работникам в возрасте до восемнадцати лет предоставляется ежегодный основной оплачиваемый отпуск продолжительностью 31 календарный день, в удобное для них время.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24. Для несовершеннолетних работников предусмотрены дополнительные гарантии реализации права на отпуск. Так, в отношении данных работников ТК РФ устанавливает запреты на:</w:t>
      </w:r>
    </w:p>
    <w:p w:rsidR="00F11E69" w:rsidRPr="00F11E69" w:rsidRDefault="00F11E69" w:rsidP="00F11E69">
      <w:pPr>
        <w:widowControl w:val="0"/>
        <w:autoSpaceDE w:val="0"/>
        <w:autoSpaceDN w:val="0"/>
        <w:adjustRightInd w:val="0"/>
        <w:spacing w:after="0" w:line="228" w:lineRule="auto"/>
        <w:ind w:left="1080" w:hanging="3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непредоставление</w:t>
      </w:r>
      <w:proofErr w:type="spell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ежегодного оплачиваемого отпуска </w:t>
      </w:r>
    </w:p>
    <w:p w:rsidR="00F11E69" w:rsidRPr="00F11E69" w:rsidRDefault="00F11E69" w:rsidP="00F11E69">
      <w:pPr>
        <w:widowControl w:val="0"/>
        <w:autoSpaceDE w:val="0"/>
        <w:autoSpaceDN w:val="0"/>
        <w:adjustRightInd w:val="0"/>
        <w:spacing w:after="0" w:line="228" w:lineRule="auto"/>
        <w:ind w:left="1080" w:hanging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 4 ст. 124 ТК РФ);</w:t>
      </w:r>
    </w:p>
    <w:p w:rsidR="00F11E69" w:rsidRPr="00F11E69" w:rsidRDefault="00F11E69" w:rsidP="00F11E69">
      <w:pPr>
        <w:widowControl w:val="0"/>
        <w:autoSpaceDE w:val="0"/>
        <w:autoSpaceDN w:val="0"/>
        <w:adjustRightInd w:val="0"/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отзыв из отпуска (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 3 ст. 125 ТК РФ);</w:t>
      </w:r>
    </w:p>
    <w:p w:rsidR="00F11E69" w:rsidRPr="00F11E69" w:rsidRDefault="00F11E69" w:rsidP="00F11E69">
      <w:pPr>
        <w:widowControl w:val="0"/>
        <w:autoSpaceDE w:val="0"/>
        <w:autoSpaceDN w:val="0"/>
        <w:adjustRightInd w:val="0"/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замена отпуска денежной компенсацией (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 3 ст. 126 ТК РФ).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 В соответствии с главой 26 ТК РФ, работникам, совмещающим работу с обучением, предоставляются дополнительные гарантии и компенсации. 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предоставления гарантий и компенсаций зависит от учебного заведения, в котором обучается или в которое собирается поступать работник, а также от того, является ли получаемое образование вторым образованием (согласно </w:t>
      </w:r>
      <w:hyperlink r:id="rId19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ст. 177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РФ, гарантии и компенсации работникам, совмещающим работу с обучением, предоставляются при получении образования соответствующего уровня впервые). Работнику, совмещающему работу с обучением одновременно в двух образовательных учреждениях, гарантии и компенсации предоставляются только в связи с обучением в одном из них по выбору работника.</w:t>
      </w:r>
    </w:p>
    <w:p w:rsidR="00F11E69" w:rsidRPr="00F11E69" w:rsidRDefault="00F11E69" w:rsidP="00F11E69">
      <w:pPr>
        <w:autoSpaceDE w:val="0"/>
        <w:autoSpaceDN w:val="0"/>
        <w:adjustRightInd w:val="0"/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173 ТК РФ несовершеннолетним  работникам, направленным на обучение работодателем или поступившим самостоятельно в имеющие государственную аккредитацию образовательные организации высшего образования, независимо от организационно-правовой формы, по заочной или </w:t>
      </w:r>
      <w:proofErr w:type="spell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очно-заочной</w:t>
      </w:r>
      <w:proofErr w:type="spell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(вечерней) формам обучения, работодатель предоставляет дополнительный отпуск с сохранением среднего заработка для прохождения промежуточной аттестации, на сроки, установленные данной статьей ТК РФ.</w:t>
      </w:r>
      <w:proofErr w:type="gramEnd"/>
    </w:p>
    <w:p w:rsidR="00F11E69" w:rsidRPr="00F11E69" w:rsidRDefault="00F11E69" w:rsidP="00F11E69">
      <w:pPr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 Работодатель обязан предоставить отпуск без сохранения заработной платы работникам, допущенным к вступительным испытаниям в образовательные организации высшего образования; работникам - слушателям подготовительных отделений образовательных организаций высшего образования для сдачи выпускных экзаменов;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работникам, обучающимся в имеющих государственную аккредитацию образовательных организациях высшего образования по очной форме обучения, совмещающим учебу с работой, для прохождения промежуточной аттестации, для подготовки и защиты выпускной квалификационной работы и сдачи итоговых государственных экзаменов, для сдачи итоговых государственных экзаменов.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Сроки отпуска без сохранения заработной платы определены статьей 173        ТК РФ. Данной статьей также предусмотрено, что работникам, обучающимся по заочной форме обучения в имеющих государственную аккредитацию образовательных организациях высшего образования, один раз в учебном году работодатель оплачивает проезд к месту нахождения учебного заведения и обратно.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дополнительным отпускам по соглашению работодателя и работника могут присоединяться ежегодные оплачиваемые отпуска.</w:t>
      </w:r>
    </w:p>
    <w:p w:rsidR="00F11E69" w:rsidRPr="00F11E69" w:rsidRDefault="00F11E69" w:rsidP="00F11E69">
      <w:pPr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 Указанным работникам также в порядке, определенном статьей 173 Трудового кодекса Российской Федерации, устанавливается рабочая неделя, сокращенная на семь часов. За время освобождения от работы этим работникам выплачивается 50% среднего заработка по основному месту работы, но не ниже </w:t>
      </w:r>
      <w:hyperlink r:id="rId20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минимального </w:t>
        </w:r>
        <w:proofErr w:type="gramStart"/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размера оплаты труда</w:t>
        </w:r>
        <w:proofErr w:type="gramEnd"/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E69" w:rsidRPr="00F11E69" w:rsidRDefault="00F11E69" w:rsidP="00F11E69">
      <w:pPr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 Гарантии и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несовершеннолетним работникам, поступающим в профессиональные образовательные организации, обучающимся в профессиональных образовательных организациях, а также в вечерних (сменных) организациях, осуществляющих образовательную деятельность, предоставляются в порядке, определенном </w:t>
      </w:r>
      <w:hyperlink r:id="rId21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статьями 174-176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ТК РФ.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30. Если несовершеннолетний работник обучается в учебных заведениях, не имеющих государственной аккредитации, гарантии и компенсации устанавливаются коллективным договором или трудовым договором с конкретным работником.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9" w:rsidRPr="00F11E69" w:rsidRDefault="00F11E69" w:rsidP="00F11E69">
      <w:pPr>
        <w:spacing w:after="0" w:line="22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" w:name="sub_229"/>
      <w:r w:rsidRPr="00F11E6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10. Прекращение трудовых отношений</w:t>
      </w:r>
    </w:p>
    <w:p w:rsidR="00F11E69" w:rsidRPr="00F11E69" w:rsidRDefault="00F11E69" w:rsidP="00F11E69">
      <w:pPr>
        <w:spacing w:before="100" w:beforeAutospacing="1"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9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31. 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</w:t>
      </w:r>
      <w:hyperlink r:id="rId22" w:history="1"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статьей 269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 РФ расторжение трудового договора с несовершеннолетним работниками по инициативе работодателя (за исключением случаев ликвидации организации или прекращения деятельности индивидуальным предпринимателем), помимо соблюдения общего порядка, допускается только с согласия соответствующих районных (городских), районных в городах комиссий по делам несовершеннолетних и защите их прав (далее - районные (городские) комиссии).</w:t>
      </w:r>
      <w:proofErr w:type="gramEnd"/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32. Увольнение несовершеннолетнего работника без законного основания, с нарушением установленного порядка увольнения, без согласия  районной (городской) комиссии является незаконным и влечет восстановление работника на работе, оплату времени вынужденного прогула и вынесение по </w:t>
      </w: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требованию работника решения о возмещении ему морального вреда, причиненного этими действиями. Размер такой компенсации определяется судом.</w:t>
      </w:r>
    </w:p>
    <w:p w:rsidR="00F11E69" w:rsidRPr="00F11E69" w:rsidRDefault="00F11E69" w:rsidP="00F11E69">
      <w:pPr>
        <w:spacing w:before="100" w:beforeAutospacing="1"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33. </w:t>
      </w:r>
      <w:hyperlink r:id="rId23" w:history="1">
        <w:proofErr w:type="gramStart"/>
        <w:r w:rsidRPr="00F11E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Пунктом 6 статьи 9</w:t>
        </w:r>
      </w:hyperlink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21 декабря 1996 года № 159-ФЗ «О дополнительных гарантиях по социальной поддержке детей-сирот и детей, оставшихся без попечения родителей» установлено, что работникам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с последующим их трудоустройством в данной или другой организации.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34. В случае если работник не соответствует занимаемой должности или выполняемой работе вследствие состояния здоровья в соответствии с медицинским заключением, трудовой 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работодателя. Увольнение по указанному основанию допускается, если невозможно перевести работника с его согласия на другую работу.</w:t>
      </w:r>
    </w:p>
    <w:p w:rsidR="00F11E69" w:rsidRPr="00F11E69" w:rsidRDefault="00F11E69" w:rsidP="00F11E69">
      <w:pPr>
        <w:spacing w:before="100" w:beforeAutospacing="1"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35. При прекращении трудового договора выплата всех сумм, причитающихся работнику, производится в день увольнения</w:t>
      </w:r>
      <w:proofErr w:type="gramStart"/>
      <w:r w:rsidRPr="00F11E69">
        <w:rPr>
          <w:rFonts w:ascii="Times New Roman" w:eastAsia="Times New Roman" w:hAnsi="Times New Roman" w:cs="Times New Roman"/>
          <w:sz w:val="20"/>
          <w:szCs w:val="20"/>
          <w:lang w:eastAsia="ru-RU"/>
        </w:rPr>
        <w:t>.». </w:t>
      </w:r>
      <w:proofErr w:type="gramEnd"/>
    </w:p>
    <w:p w:rsidR="00770DA5" w:rsidRDefault="00770DA5" w:rsidP="00F11E69">
      <w:pPr>
        <w:jc w:val="both"/>
      </w:pPr>
    </w:p>
    <w:sectPr w:rsidR="00770DA5" w:rsidSect="0077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E69"/>
    <w:rsid w:val="003D31EC"/>
    <w:rsid w:val="00770DA5"/>
    <w:rsid w:val="00E91C17"/>
    <w:rsid w:val="00F1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A5"/>
  </w:style>
  <w:style w:type="paragraph" w:styleId="1">
    <w:name w:val="heading 1"/>
    <w:basedOn w:val="a"/>
    <w:link w:val="10"/>
    <w:uiPriority w:val="9"/>
    <w:qFormat/>
    <w:rsid w:val="00F1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11E69"/>
    <w:rPr>
      <w:b/>
      <w:bCs/>
    </w:rPr>
  </w:style>
  <w:style w:type="paragraph" w:styleId="a4">
    <w:name w:val="No Spacing"/>
    <w:basedOn w:val="a"/>
    <w:uiPriority w:val="1"/>
    <w:qFormat/>
    <w:rsid w:val="00F1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1E69"/>
    <w:rPr>
      <w:color w:val="0000FF"/>
      <w:u w:val="single"/>
    </w:rPr>
  </w:style>
  <w:style w:type="paragraph" w:customStyle="1" w:styleId="a00">
    <w:name w:val="a0"/>
    <w:basedOn w:val="a"/>
    <w:rsid w:val="00F1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1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422" TargetMode="External"/><Relationship Id="rId13" Type="http://schemas.openxmlformats.org/officeDocument/2006/relationships/hyperlink" Target="consultantplus://offline/ref=33E8EC2EAE2819DF7DE978A3FB4693A137BC560A544C3F06F8B7C65F49D0B45AE6B76C168E6F5BEEp1G" TargetMode="External"/><Relationship Id="rId18" Type="http://schemas.openxmlformats.org/officeDocument/2006/relationships/hyperlink" Target="garantF1://12025268.2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174" TargetMode="External"/><Relationship Id="rId7" Type="http://schemas.openxmlformats.org/officeDocument/2006/relationships/hyperlink" Target="garantF1://12025268.298" TargetMode="External"/><Relationship Id="rId12" Type="http://schemas.openxmlformats.org/officeDocument/2006/relationships/hyperlink" Target="garantF1://80624.0" TargetMode="External"/><Relationship Id="rId17" Type="http://schemas.openxmlformats.org/officeDocument/2006/relationships/hyperlink" Target="garantF1://10004189.20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5268.26601" TargetMode="External"/><Relationship Id="rId20" Type="http://schemas.openxmlformats.org/officeDocument/2006/relationships/hyperlink" Target="garantF1://1008009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28210" TargetMode="External"/><Relationship Id="rId11" Type="http://schemas.openxmlformats.org/officeDocument/2006/relationships/hyperlink" Target="garantF1://12025268.2423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1762.0" TargetMode="External"/><Relationship Id="rId15" Type="http://schemas.openxmlformats.org/officeDocument/2006/relationships/hyperlink" Target="garantF1://12025268.26601" TargetMode="External"/><Relationship Id="rId23" Type="http://schemas.openxmlformats.org/officeDocument/2006/relationships/hyperlink" Target="garantF1://10035206.906" TargetMode="External"/><Relationship Id="rId10" Type="http://schemas.openxmlformats.org/officeDocument/2006/relationships/hyperlink" Target="garantF1://91058.1000" TargetMode="External"/><Relationship Id="rId19" Type="http://schemas.openxmlformats.org/officeDocument/2006/relationships/hyperlink" Target="garantF1://12025268.17701" TargetMode="External"/><Relationship Id="rId4" Type="http://schemas.openxmlformats.org/officeDocument/2006/relationships/hyperlink" Target="garantF1://81762.10000" TargetMode="External"/><Relationship Id="rId9" Type="http://schemas.openxmlformats.org/officeDocument/2006/relationships/hyperlink" Target="garantF1://12025268.268" TargetMode="External"/><Relationship Id="rId14" Type="http://schemas.openxmlformats.org/officeDocument/2006/relationships/hyperlink" Target="garantF1://12025268.70044" TargetMode="External"/><Relationship Id="rId22" Type="http://schemas.openxmlformats.org/officeDocument/2006/relationships/hyperlink" Target="garantF1://12025268.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2921</Words>
  <Characters>16655</Characters>
  <Application>Microsoft Office Word</Application>
  <DocSecurity>0</DocSecurity>
  <Lines>138</Lines>
  <Paragraphs>39</Paragraphs>
  <ScaleCrop>false</ScaleCrop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d.bakulenko</dc:creator>
  <cp:lastModifiedBy>Federyagina</cp:lastModifiedBy>
  <cp:revision>2</cp:revision>
  <dcterms:created xsi:type="dcterms:W3CDTF">2022-05-12T01:21:00Z</dcterms:created>
  <dcterms:modified xsi:type="dcterms:W3CDTF">2022-05-12T01:21:00Z</dcterms:modified>
</cp:coreProperties>
</file>